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1E" w:rsidRPr="00A72355" w:rsidRDefault="003F141E" w:rsidP="003F141E">
      <w:pPr>
        <w:pStyle w:val="4"/>
        <w:spacing w:line="320" w:lineRule="exact"/>
        <w:ind w:leftChars="50" w:left="108"/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</w:pPr>
      <w:bookmarkStart w:id="0" w:name="_Toc492668733"/>
      <w:bookmarkStart w:id="1" w:name="_Toc492721441"/>
      <w:bookmarkStart w:id="2" w:name="_Toc95150603"/>
      <w:bookmarkStart w:id="3" w:name="_GoBack"/>
      <w:bookmarkEnd w:id="3"/>
      <w:r w:rsidRPr="00A72355">
        <w:rPr>
          <w:rFonts w:ascii="ＭＳ Ｐゴシック" w:eastAsia="ＭＳ Ｐゴシック" w:hAnsi="ＭＳ Ｐ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0E81" wp14:editId="110F295B">
                <wp:simplePos x="0" y="0"/>
                <wp:positionH relativeFrom="margin">
                  <wp:posOffset>-128905</wp:posOffset>
                </wp:positionH>
                <wp:positionV relativeFrom="paragraph">
                  <wp:posOffset>-26035</wp:posOffset>
                </wp:positionV>
                <wp:extent cx="5400675" cy="33337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A2D1" id="正方形/長方形 54" o:spid="_x0000_s1026" style="position:absolute;left:0;text-align:left;margin-left:-10.15pt;margin-top:-2.05pt;width:42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" filled="f" strokecolor="#243f60 [1604]" strokeweight="2pt">
                <w10:wrap anchorx="margin"/>
              </v:rect>
            </w:pict>
          </mc:Fallback>
        </mc:AlternateConten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資料41　共通経費の配分伺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（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例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）</w:t>
      </w:r>
      <w:bookmarkEnd w:id="2"/>
    </w:p>
    <w:p w:rsidR="003F141E" w:rsidRPr="00A72355" w:rsidRDefault="003F141E" w:rsidP="003F141E">
      <w:pPr>
        <w:pStyle w:val="af1"/>
        <w:spacing w:line="180" w:lineRule="exact"/>
        <w:rPr>
          <w:rFonts w:asciiTheme="majorEastAsia" w:eastAsiaTheme="majorEastAsia" w:hAnsiTheme="majorEastAsia"/>
          <w:color w:val="000000" w:themeColor="text1"/>
          <w:spacing w:val="0"/>
        </w:rPr>
      </w:pPr>
    </w:p>
    <w:p w:rsidR="003F141E" w:rsidRPr="00A72355" w:rsidRDefault="003F141E" w:rsidP="003F141E">
      <w:pPr>
        <w:pStyle w:val="af1"/>
        <w:rPr>
          <w:rFonts w:asciiTheme="majorEastAsia" w:eastAsiaTheme="majorEastAsia" w:hAnsiTheme="majorEastAsia"/>
          <w:color w:val="000000" w:themeColor="text1"/>
          <w:spacing w:val="0"/>
        </w:rPr>
      </w:pPr>
      <w:r w:rsidRPr="00A72355">
        <w:rPr>
          <w:rFonts w:asciiTheme="majorEastAsia" w:eastAsiaTheme="majorEastAsia" w:hAnsiTheme="majorEastAsia" w:hint="eastAsia"/>
          <w:color w:val="000000" w:themeColor="text1"/>
          <w:spacing w:val="0"/>
        </w:rPr>
        <w:t>※１拠点の中で、サービス区分ごとに配分する例</w:t>
      </w:r>
    </w:p>
    <w:p w:rsidR="003F141E" w:rsidRPr="00A72355" w:rsidRDefault="003F141E" w:rsidP="003F141E">
      <w:pPr>
        <w:rPr>
          <w:color w:val="000000" w:themeColor="text1"/>
        </w:rPr>
      </w:pPr>
    </w:p>
    <w:p w:rsidR="003F141E" w:rsidRPr="00A72355" w:rsidRDefault="003F141E" w:rsidP="003F141E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290"/>
        <w:gridCol w:w="1121"/>
        <w:gridCol w:w="165"/>
        <w:gridCol w:w="557"/>
        <w:gridCol w:w="690"/>
        <w:gridCol w:w="1153"/>
        <w:gridCol w:w="260"/>
        <w:gridCol w:w="732"/>
        <w:gridCol w:w="866"/>
        <w:gridCol w:w="1716"/>
      </w:tblGrid>
      <w:tr w:rsidR="003F141E" w:rsidRPr="00A72355" w:rsidTr="00630D01">
        <w:trPr>
          <w:trHeight w:val="365"/>
        </w:trPr>
        <w:tc>
          <w:tcPr>
            <w:tcW w:w="1411" w:type="dxa"/>
            <w:vAlign w:val="center"/>
          </w:tcPr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理事長</w:t>
            </w:r>
          </w:p>
        </w:tc>
        <w:tc>
          <w:tcPr>
            <w:tcW w:w="1411" w:type="dxa"/>
            <w:gridSpan w:val="2"/>
            <w:vAlign w:val="center"/>
          </w:tcPr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会計責任者</w:t>
            </w:r>
          </w:p>
        </w:tc>
        <w:tc>
          <w:tcPr>
            <w:tcW w:w="1412" w:type="dxa"/>
            <w:gridSpan w:val="3"/>
            <w:vAlign w:val="center"/>
          </w:tcPr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出納職員</w:t>
            </w:r>
          </w:p>
        </w:tc>
        <w:tc>
          <w:tcPr>
            <w:tcW w:w="1413" w:type="dxa"/>
            <w:gridSpan w:val="2"/>
            <w:vAlign w:val="center"/>
          </w:tcPr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担当</w:t>
            </w:r>
          </w:p>
        </w:tc>
        <w:tc>
          <w:tcPr>
            <w:tcW w:w="3314" w:type="dxa"/>
            <w:gridSpan w:val="3"/>
            <w:vMerge w:val="restart"/>
            <w:vAlign w:val="center"/>
          </w:tcPr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  <w:tr w:rsidR="003F141E" w:rsidRPr="00A72355" w:rsidTr="00630D01">
        <w:trPr>
          <w:trHeight w:val="944"/>
        </w:trPr>
        <w:tc>
          <w:tcPr>
            <w:tcW w:w="1411" w:type="dxa"/>
            <w:tcBorders>
              <w:bottom w:val="single" w:sz="4" w:space="0" w:color="auto"/>
            </w:tcBorders>
          </w:tcPr>
          <w:p w:rsidR="003F141E" w:rsidRPr="00A72355" w:rsidRDefault="003F141E" w:rsidP="00630D01">
            <w:pPr>
              <w:rPr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3F141E" w:rsidRPr="00A72355" w:rsidRDefault="003F141E" w:rsidP="00630D01">
            <w:pPr>
              <w:rPr>
                <w:color w:val="000000" w:themeColor="text1"/>
              </w:rPr>
            </w:pP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</w:tcPr>
          <w:p w:rsidR="003F141E" w:rsidRPr="00A72355" w:rsidRDefault="003F141E" w:rsidP="00630D01">
            <w:pPr>
              <w:rPr>
                <w:color w:val="000000" w:themeColor="text1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3F141E" w:rsidRPr="00A72355" w:rsidRDefault="003F141E" w:rsidP="00630D01">
            <w:pPr>
              <w:rPr>
                <w:color w:val="000000" w:themeColor="text1"/>
              </w:rPr>
            </w:pPr>
          </w:p>
        </w:tc>
        <w:tc>
          <w:tcPr>
            <w:tcW w:w="3314" w:type="dxa"/>
            <w:gridSpan w:val="3"/>
            <w:vMerge/>
            <w:tcBorders>
              <w:bottom w:val="single" w:sz="4" w:space="0" w:color="auto"/>
            </w:tcBorders>
          </w:tcPr>
          <w:p w:rsidR="003F141E" w:rsidRPr="00A72355" w:rsidRDefault="003F141E" w:rsidP="00630D01">
            <w:pPr>
              <w:rPr>
                <w:color w:val="000000" w:themeColor="text1"/>
              </w:rPr>
            </w:pPr>
          </w:p>
        </w:tc>
      </w:tr>
      <w:tr w:rsidR="003F141E" w:rsidRPr="00A72355" w:rsidTr="00630D01">
        <w:trPr>
          <w:trHeight w:val="834"/>
        </w:trPr>
        <w:tc>
          <w:tcPr>
            <w:tcW w:w="896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3F141E" w:rsidRPr="00A72355" w:rsidRDefault="003F141E" w:rsidP="00630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2355">
              <w:rPr>
                <w:rFonts w:hint="eastAsia"/>
                <w:color w:val="000000" w:themeColor="text1"/>
                <w:sz w:val="28"/>
                <w:szCs w:val="28"/>
              </w:rPr>
              <w:t>共通経費の配分伺</w:t>
            </w:r>
          </w:p>
        </w:tc>
      </w:tr>
      <w:tr w:rsidR="003F141E" w:rsidRPr="00A72355" w:rsidTr="00630D01">
        <w:trPr>
          <w:trHeight w:val="180"/>
        </w:trPr>
        <w:tc>
          <w:tcPr>
            <w:tcW w:w="89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141E" w:rsidRPr="00A72355" w:rsidRDefault="003F141E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下記のとおり共通経費を配分することとしてよろしいか伺います。</w:t>
            </w:r>
          </w:p>
        </w:tc>
      </w:tr>
      <w:tr w:rsidR="003F141E" w:rsidRPr="00A72355" w:rsidTr="00630D01">
        <w:trPr>
          <w:trHeight w:val="180"/>
        </w:trPr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社会福祉</w:t>
            </w:r>
            <w:r w:rsidRPr="00A72355">
              <w:rPr>
                <w:rFonts w:hint="eastAsia"/>
                <w:color w:val="000000" w:themeColor="text1"/>
              </w:rPr>
              <w:t xml:space="preserve">　事業区分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○○こども園</w:t>
            </w:r>
            <w:r w:rsidRPr="00A72355">
              <w:rPr>
                <w:rFonts w:hint="eastAsia"/>
                <w:color w:val="000000" w:themeColor="text1"/>
              </w:rPr>
              <w:t xml:space="preserve">　拠点区分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1E" w:rsidRPr="00A72355" w:rsidRDefault="003F141E" w:rsidP="00630D01">
            <w:pPr>
              <w:ind w:rightChars="50" w:right="108"/>
              <w:jc w:val="right"/>
              <w:rPr>
                <w:strike/>
                <w:color w:val="000000" w:themeColor="text1"/>
              </w:rPr>
            </w:pPr>
            <w:r w:rsidRPr="00A72355">
              <w:rPr>
                <w:rFonts w:hint="eastAsia"/>
                <w:strike/>
                <w:color w:val="000000" w:themeColor="text1"/>
                <w:w w:val="66"/>
              </w:rPr>
              <w:t xml:space="preserve">　サービス</w:t>
            </w:r>
            <w:r w:rsidRPr="00A72355">
              <w:rPr>
                <w:rFonts w:hint="eastAsia"/>
                <w:strike/>
                <w:color w:val="000000" w:themeColor="text1"/>
              </w:rPr>
              <w:t xml:space="preserve">区分　</w:t>
            </w:r>
          </w:p>
        </w:tc>
      </w:tr>
      <w:tr w:rsidR="003F141E" w:rsidRPr="00A72355" w:rsidTr="00630D01">
        <w:trPr>
          <w:trHeight w:val="180"/>
        </w:trPr>
        <w:tc>
          <w:tcPr>
            <w:tcW w:w="8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配分比率（％で記入する）</w:t>
            </w:r>
          </w:p>
        </w:tc>
      </w:tr>
      <w:tr w:rsidR="003F141E" w:rsidRPr="00A72355" w:rsidTr="00630D01">
        <w:trPr>
          <w:trHeight w:val="455"/>
        </w:trPr>
        <w:tc>
          <w:tcPr>
            <w:tcW w:w="1701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3F141E" w:rsidRPr="00A72355" w:rsidRDefault="003F141E" w:rsidP="00630D01">
            <w:pPr>
              <w:spacing w:line="200" w:lineRule="exact"/>
              <w:jc w:val="right"/>
              <w:rPr>
                <w:rFonts w:ascii="ＭＳ Ｐ明朝" w:eastAsia="ＭＳ Ｐ明朝" w:hAnsi="ＭＳ Ｐ明朝"/>
                <w:color w:val="000000" w:themeColor="text1"/>
                <w:w w:val="80"/>
                <w:sz w:val="18"/>
                <w:szCs w:val="18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>拠点（</w:t>
            </w:r>
            <w:r w:rsidRPr="00A72355">
              <w:rPr>
                <w:rFonts w:ascii="ＭＳ Ｐ明朝" w:eastAsia="ＭＳ Ｐ明朝" w:hAnsi="ＭＳ Ｐ明朝" w:hint="eastAsia"/>
                <w:color w:val="000000" w:themeColor="text1"/>
                <w:w w:val="66"/>
                <w:sz w:val="18"/>
                <w:szCs w:val="18"/>
              </w:rPr>
              <w:t>サービス</w:t>
            </w:r>
            <w:r w:rsidRPr="00A72355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>）</w:t>
            </w:r>
          </w:p>
          <w:p w:rsidR="003F141E" w:rsidRPr="00A72355" w:rsidRDefault="003F141E" w:rsidP="00630D01">
            <w:pPr>
              <w:spacing w:line="200" w:lineRule="exact"/>
              <w:jc w:val="right"/>
              <w:rPr>
                <w:rFonts w:ascii="ＭＳ Ｐ明朝" w:eastAsia="ＭＳ Ｐ明朝" w:hAnsi="ＭＳ Ｐ明朝"/>
                <w:color w:val="000000" w:themeColor="text1"/>
                <w:w w:val="80"/>
                <w:sz w:val="18"/>
                <w:szCs w:val="18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>区分</w:t>
            </w:r>
          </w:p>
          <w:p w:rsidR="003F141E" w:rsidRPr="00A72355" w:rsidRDefault="003F141E" w:rsidP="00630D01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A72355">
              <w:rPr>
                <w:rFonts w:hint="eastAsia"/>
                <w:color w:val="000000" w:themeColor="text1"/>
                <w:sz w:val="18"/>
                <w:szCs w:val="18"/>
              </w:rPr>
              <w:t>勘定科目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3F141E" w:rsidRPr="00A72355" w:rsidRDefault="003F141E" w:rsidP="00630D01">
            <w:pPr>
              <w:jc w:val="center"/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こども園</w:t>
            </w:r>
          </w:p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w w:val="80"/>
                <w:sz w:val="24"/>
              </w:rPr>
              <w:t>サービス</w:t>
            </w: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区分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3F141E" w:rsidRPr="00A72355" w:rsidRDefault="003F141E" w:rsidP="00630D01">
            <w:pPr>
              <w:jc w:val="center"/>
              <w:rPr>
                <w:rFonts w:ascii="HGS教科書体" w:eastAsia="HGS教科書体"/>
                <w:b/>
                <w:color w:val="000000" w:themeColor="text1"/>
                <w:w w:val="66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w w:val="66"/>
                <w:sz w:val="24"/>
              </w:rPr>
              <w:t>放課後児童クラブ</w:t>
            </w:r>
          </w:p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w w:val="80"/>
                <w:sz w:val="24"/>
              </w:rPr>
              <w:t>サービス</w:t>
            </w: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区分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</w:tcBorders>
            <w:vAlign w:val="center"/>
          </w:tcPr>
          <w:p w:rsidR="003F141E" w:rsidRPr="00A72355" w:rsidRDefault="003F141E" w:rsidP="00630D01">
            <w:pPr>
              <w:jc w:val="center"/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本部</w:t>
            </w:r>
          </w:p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w w:val="80"/>
                <w:sz w:val="24"/>
              </w:rPr>
              <w:t>サービス</w:t>
            </w: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区分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3F141E" w:rsidRPr="00A72355" w:rsidRDefault="003F141E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合計（検算）</w:t>
            </w:r>
          </w:p>
        </w:tc>
      </w:tr>
      <w:tr w:rsidR="003F141E" w:rsidRPr="00A72355" w:rsidTr="00630D01">
        <w:trPr>
          <w:trHeight w:val="455"/>
        </w:trPr>
        <w:tc>
          <w:tcPr>
            <w:tcW w:w="1701" w:type="dxa"/>
            <w:gridSpan w:val="2"/>
            <w:tcBorders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hint="eastAsia"/>
                <w:color w:val="000000" w:themeColor="text1"/>
              </w:rPr>
              <w:t>（</w:t>
            </w:r>
            <w:r w:rsidRPr="00A72355">
              <w:rPr>
                <w:rFonts w:ascii="HGS教科書体" w:eastAsia="HGS教科書体" w:hint="eastAsia"/>
                <w:b/>
                <w:color w:val="000000" w:themeColor="text1"/>
                <w:w w:val="75"/>
                <w:sz w:val="24"/>
              </w:rPr>
              <w:t>水道光熱</w:t>
            </w:r>
            <w:r w:rsidRPr="00A72355">
              <w:rPr>
                <w:rFonts w:hint="eastAsia"/>
                <w:color w:val="000000" w:themeColor="text1"/>
              </w:rPr>
              <w:t>）費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　９０％</w:t>
            </w:r>
          </w:p>
        </w:tc>
        <w:tc>
          <w:tcPr>
            <w:tcW w:w="1843" w:type="dxa"/>
            <w:gridSpan w:val="2"/>
            <w:tcBorders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　　８％</w:t>
            </w:r>
          </w:p>
        </w:tc>
        <w:tc>
          <w:tcPr>
            <w:tcW w:w="1858" w:type="dxa"/>
            <w:gridSpan w:val="3"/>
            <w:tcBorders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　　２％</w:t>
            </w:r>
          </w:p>
        </w:tc>
        <w:tc>
          <w:tcPr>
            <w:tcW w:w="1716" w:type="dxa"/>
            <w:tcBorders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１００％</w:t>
            </w:r>
          </w:p>
        </w:tc>
      </w:tr>
      <w:tr w:rsidR="003F141E" w:rsidRPr="00A72355" w:rsidTr="00630D01">
        <w:trPr>
          <w:trHeight w:val="45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hint="eastAsia"/>
                <w:color w:val="000000" w:themeColor="text1"/>
              </w:rPr>
              <w:t>（</w:t>
            </w: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消耗品</w:t>
            </w:r>
            <w:r w:rsidRPr="00A72355">
              <w:rPr>
                <w:rFonts w:hint="eastAsia"/>
                <w:color w:val="000000" w:themeColor="text1"/>
              </w:rPr>
              <w:t>）費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　８９％</w:t>
            </w: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　　７％</w:t>
            </w:r>
          </w:p>
        </w:tc>
        <w:tc>
          <w:tcPr>
            <w:tcW w:w="18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　　４％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１００％</w:t>
            </w:r>
          </w:p>
        </w:tc>
      </w:tr>
      <w:tr w:rsidR="003F141E" w:rsidRPr="00A72355" w:rsidTr="00630D01">
        <w:trPr>
          <w:trHeight w:val="45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hint="eastAsia"/>
                <w:color w:val="000000" w:themeColor="text1"/>
              </w:rPr>
              <w:t>（</w:t>
            </w: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賃借料</w:t>
            </w:r>
            <w:r w:rsidRPr="00A72355">
              <w:rPr>
                <w:rFonts w:hint="eastAsia"/>
                <w:color w:val="000000" w:themeColor="text1"/>
              </w:rPr>
              <w:t>）費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　８９％</w:t>
            </w: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　　７％</w:t>
            </w:r>
          </w:p>
        </w:tc>
        <w:tc>
          <w:tcPr>
            <w:tcW w:w="18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　　４％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 xml:space="preserve">　１００％</w:t>
            </w:r>
          </w:p>
        </w:tc>
      </w:tr>
      <w:tr w:rsidR="003F141E" w:rsidRPr="00A72355" w:rsidTr="00630D01">
        <w:trPr>
          <w:trHeight w:val="45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</w:tr>
      <w:tr w:rsidR="003F141E" w:rsidRPr="00A72355" w:rsidTr="00630D01">
        <w:trPr>
          <w:trHeight w:val="45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</w:tr>
      <w:tr w:rsidR="003F141E" w:rsidRPr="00A72355" w:rsidTr="00630D01">
        <w:trPr>
          <w:trHeight w:val="45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</w:tr>
      <w:tr w:rsidR="003F141E" w:rsidRPr="00A72355" w:rsidTr="00630D01">
        <w:trPr>
          <w:trHeight w:val="455"/>
        </w:trPr>
        <w:tc>
          <w:tcPr>
            <w:tcW w:w="17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17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F141E" w:rsidRPr="00A72355" w:rsidRDefault="003F141E" w:rsidP="00630D01">
            <w:pPr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</w:tr>
      <w:tr w:rsidR="003F141E" w:rsidRPr="00A72355" w:rsidTr="00630D01">
        <w:trPr>
          <w:trHeight w:val="3352"/>
        </w:trPr>
        <w:tc>
          <w:tcPr>
            <w:tcW w:w="8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A72355" w:rsidRDefault="003F141E" w:rsidP="00630D01">
            <w:pPr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［配分基準と具体的計算］</w:t>
            </w:r>
          </w:p>
          <w:p w:rsidR="003F141E" w:rsidRPr="00A72355" w:rsidRDefault="003F141E" w:rsidP="00630D01">
            <w:pPr>
              <w:rPr>
                <w:color w:val="000000" w:themeColor="text1"/>
              </w:rPr>
            </w:pPr>
          </w:p>
        </w:tc>
      </w:tr>
    </w:tbl>
    <w:p w:rsidR="003F141E" w:rsidRPr="00A72355" w:rsidRDefault="003F141E" w:rsidP="003F141E">
      <w:pPr>
        <w:pStyle w:val="af1"/>
        <w:rPr>
          <w:color w:val="000000" w:themeColor="text1"/>
          <w:spacing w:val="0"/>
        </w:rPr>
      </w:pPr>
    </w:p>
    <w:p w:rsidR="003F141E" w:rsidRPr="00A72355" w:rsidRDefault="003F141E" w:rsidP="003F141E">
      <w:pPr>
        <w:spacing w:line="260" w:lineRule="exact"/>
        <w:ind w:left="648" w:hangingChars="300" w:hanging="648"/>
        <w:rPr>
          <w:rFonts w:ascii="HGP創英角ｺﾞｼｯｸUB" w:eastAsia="HGP創英角ｺﾞｼｯｸUB"/>
          <w:color w:val="000000" w:themeColor="text1"/>
        </w:rPr>
      </w:pPr>
    </w:p>
    <w:p w:rsidR="003F141E" w:rsidRDefault="003F141E" w:rsidP="003F141E">
      <w:pPr>
        <w:spacing w:line="260" w:lineRule="exact"/>
        <w:ind w:left="648" w:hangingChars="300" w:hanging="648"/>
        <w:rPr>
          <w:rFonts w:ascii="HGP創英角ｺﾞｼｯｸUB" w:eastAsia="HGP創英角ｺﾞｼｯｸUB"/>
          <w:color w:val="000000" w:themeColor="text1"/>
        </w:rPr>
      </w:pPr>
    </w:p>
    <w:p w:rsidR="003F141E" w:rsidRDefault="003F141E" w:rsidP="003F141E">
      <w:pPr>
        <w:spacing w:line="260" w:lineRule="exact"/>
        <w:ind w:left="648" w:hangingChars="300" w:hanging="648"/>
        <w:rPr>
          <w:rFonts w:ascii="HGP創英角ｺﾞｼｯｸUB" w:eastAsia="HGP創英角ｺﾞｼｯｸUB"/>
          <w:color w:val="000000" w:themeColor="text1"/>
        </w:rPr>
      </w:pPr>
    </w:p>
    <w:p w:rsidR="003F141E" w:rsidRPr="00A72355" w:rsidRDefault="003F141E" w:rsidP="003F141E">
      <w:pPr>
        <w:spacing w:line="260" w:lineRule="exact"/>
        <w:ind w:left="648" w:hangingChars="300" w:hanging="648"/>
        <w:rPr>
          <w:rFonts w:ascii="HGP創英角ｺﾞｼｯｸUB" w:eastAsia="HGP創英角ｺﾞｼｯｸUB"/>
          <w:color w:val="000000" w:themeColor="text1"/>
        </w:rPr>
      </w:pPr>
      <w:r w:rsidRPr="00A72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24E45" wp14:editId="0C71681D">
                <wp:simplePos x="0" y="0"/>
                <wp:positionH relativeFrom="margin">
                  <wp:posOffset>-76200</wp:posOffset>
                </wp:positionH>
                <wp:positionV relativeFrom="paragraph">
                  <wp:posOffset>42545</wp:posOffset>
                </wp:positionV>
                <wp:extent cx="5905500" cy="876300"/>
                <wp:effectExtent l="0" t="0" r="19050" b="190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0E25D" id="角丸四角形 62" o:spid="_x0000_s1026" style="position:absolute;left:0;text-align:left;margin-left:-6pt;margin-top:3.35pt;width:4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" filled="f" strokecolor="#243f60 [1604]" strokeweight="2pt">
                <w10:wrap anchorx="margin"/>
              </v:roundrect>
            </w:pict>
          </mc:Fallback>
        </mc:AlternateContent>
      </w:r>
    </w:p>
    <w:p w:rsidR="003F141E" w:rsidRPr="00A72355" w:rsidRDefault="003F141E" w:rsidP="003F141E">
      <w:pPr>
        <w:spacing w:line="260" w:lineRule="exact"/>
        <w:ind w:left="648" w:rightChars="100" w:right="216" w:hangingChars="300" w:hanging="648"/>
        <w:rPr>
          <w:rFonts w:ascii="HGP創英角ｺﾞｼｯｸUB" w:eastAsia="HGP創英角ｺﾞｼｯｸUB"/>
          <w:color w:val="000000" w:themeColor="text1"/>
        </w:rPr>
      </w:pPr>
      <w:r w:rsidRPr="00A72355">
        <w:rPr>
          <w:rFonts w:ascii="HGP創英角ｺﾞｼｯｸUB" w:eastAsia="HGP創英角ｺﾞｼｯｸUB" w:hint="eastAsia"/>
          <w:color w:val="000000" w:themeColor="text1"/>
        </w:rPr>
        <w:t>（注）①　一旦定めた配分の基準は、状況の変化などがない限り、維持することが望ましいです。配分基準に従っての具体的な計算結果は、毎年度変化し得ます。</w:t>
      </w:r>
    </w:p>
    <w:p w:rsidR="00510142" w:rsidRPr="003F141E" w:rsidRDefault="003F141E" w:rsidP="003F141E">
      <w:pPr>
        <w:spacing w:line="260" w:lineRule="exact"/>
        <w:ind w:left="648" w:rightChars="100" w:right="216" w:hangingChars="300" w:hanging="648"/>
      </w:pPr>
      <w:r w:rsidRPr="00A72355">
        <w:rPr>
          <w:rFonts w:ascii="HGP創英角ｺﾞｼｯｸUB" w:eastAsia="HGP創英角ｺﾞｼｯｸUB" w:hint="eastAsia"/>
          <w:color w:val="000000" w:themeColor="text1"/>
        </w:rPr>
        <w:t xml:space="preserve">　　　②　措置施設や保育所等で、資金の弾力運用が全く認められない施設においては、事務費と事業費の配分も必要となります。</w:t>
      </w:r>
    </w:p>
    <w:bookmarkEnd w:id="0"/>
    <w:bookmarkEnd w:id="1"/>
    <w:sectPr w:rsidR="00510142" w:rsidRPr="003F141E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2381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41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0142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1D74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38A7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2B31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3D4F"/>
    <w:rsid w:val="00A64F92"/>
    <w:rsid w:val="00A73D2C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1A6C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AF7FB2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2E62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25A7"/>
    <w:rsid w:val="00C02A1A"/>
    <w:rsid w:val="00C0332A"/>
    <w:rsid w:val="00C03701"/>
    <w:rsid w:val="00C03E9B"/>
    <w:rsid w:val="00C04A87"/>
    <w:rsid w:val="00C0684C"/>
    <w:rsid w:val="00C06F92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6F44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06D72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532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0FBFA02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89E6-ED5E-4E67-B563-2D90BDB9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2022-04-06T05:27:00Z</dcterms:created>
  <dcterms:modified xsi:type="dcterms:W3CDTF">2022-04-06T05:27:00Z</dcterms:modified>
</cp:coreProperties>
</file>